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E2819" w:rsidRDefault="00295E20">
      <w:pPr>
        <w:pStyle w:val="Titolo"/>
        <w:ind w:firstLine="2452"/>
        <w:jc w:val="left"/>
        <w:rPr>
          <w:b w:val="0"/>
        </w:rPr>
      </w:pPr>
      <w:bookmarkStart w:id="0" w:name="_GoBack"/>
      <w:bookmarkEnd w:id="0"/>
      <w:r>
        <w:rPr>
          <w:b w:val="0"/>
        </w:rPr>
        <w:t>SCHEDA PER LA PROGRAMMAZIONE</w:t>
      </w:r>
    </w:p>
    <w:p w:rsidR="002E2819" w:rsidRDefault="00295E20">
      <w:pPr>
        <w:pStyle w:val="Titolo1"/>
        <w:ind w:left="2427" w:right="2975"/>
        <w:jc w:val="center"/>
        <w:rPr>
          <w:rFonts w:ascii="Verdana" w:eastAsia="Verdana" w:hAnsi="Verdana" w:cs="Verdana"/>
          <w:b w:val="0"/>
        </w:rPr>
      </w:pPr>
      <w:r>
        <w:rPr>
          <w:rFonts w:ascii="Verdana" w:eastAsia="Verdana" w:hAnsi="Verdana" w:cs="Verdana"/>
          <w:b w:val="0"/>
        </w:rPr>
        <w:t>Anno scolastico 2025/26</w:t>
      </w:r>
    </w:p>
    <w:p w:rsidR="002E2819" w:rsidRDefault="002E2819">
      <w:pPr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sz w:val="28"/>
          <w:szCs w:val="28"/>
        </w:rPr>
      </w:pPr>
    </w:p>
    <w:p w:rsidR="002E2819" w:rsidRDefault="00295E20">
      <w:pPr>
        <w:tabs>
          <w:tab w:val="left" w:pos="1557"/>
          <w:tab w:val="left" w:pos="1839"/>
        </w:tabs>
        <w:spacing w:before="244" w:line="472" w:lineRule="auto"/>
        <w:ind w:left="312" w:right="7424"/>
        <w:rPr>
          <w:rFonts w:ascii="Verdana" w:eastAsia="Verdana" w:hAnsi="Verdana" w:cs="Verdana"/>
          <w:sz w:val="24"/>
          <w:szCs w:val="24"/>
        </w:rPr>
      </w:pPr>
      <w:r>
        <w:rPr>
          <w:rFonts w:ascii="Verdana" w:eastAsia="Verdana" w:hAnsi="Verdana" w:cs="Verdana"/>
          <w:sz w:val="24"/>
          <w:szCs w:val="24"/>
        </w:rPr>
        <w:t>MATERIA:</w:t>
      </w:r>
      <w:r>
        <w:rPr>
          <w:rFonts w:ascii="Verdana" w:eastAsia="Verdana" w:hAnsi="Verdana" w:cs="Verdana"/>
          <w:sz w:val="24"/>
          <w:szCs w:val="24"/>
        </w:rPr>
        <w:tab/>
        <w:t xml:space="preserve">STORIA </w:t>
      </w:r>
    </w:p>
    <w:p w:rsidR="002E2819" w:rsidRDefault="00295E20">
      <w:pPr>
        <w:tabs>
          <w:tab w:val="left" w:pos="1557"/>
          <w:tab w:val="left" w:pos="1839"/>
        </w:tabs>
        <w:ind w:left="312" w:right="7422"/>
        <w:rPr>
          <w:rFonts w:ascii="Verdana" w:eastAsia="Verdana" w:hAnsi="Verdana" w:cs="Verdana"/>
          <w:b/>
          <w:sz w:val="24"/>
          <w:szCs w:val="24"/>
        </w:rPr>
      </w:pPr>
      <w:r>
        <w:rPr>
          <w:rFonts w:ascii="Verdana" w:eastAsia="Verdana" w:hAnsi="Verdana" w:cs="Verdana"/>
          <w:sz w:val="24"/>
          <w:szCs w:val="24"/>
        </w:rPr>
        <w:t>Classi:</w:t>
      </w:r>
      <w:r>
        <w:rPr>
          <w:rFonts w:ascii="Verdana" w:eastAsia="Verdana" w:hAnsi="Verdana" w:cs="Verdana"/>
          <w:b/>
          <w:sz w:val="24"/>
          <w:szCs w:val="24"/>
        </w:rPr>
        <w:t xml:space="preserve"> </w:t>
      </w:r>
      <w:r>
        <w:rPr>
          <w:rFonts w:ascii="Verdana" w:eastAsia="Verdana" w:hAnsi="Verdana" w:cs="Verdana"/>
          <w:sz w:val="24"/>
          <w:szCs w:val="24"/>
        </w:rPr>
        <w:t>Corso serale</w:t>
      </w:r>
    </w:p>
    <w:p w:rsidR="002E2819" w:rsidRDefault="00295E20">
      <w:pPr>
        <w:tabs>
          <w:tab w:val="left" w:pos="1557"/>
          <w:tab w:val="left" w:pos="1839"/>
        </w:tabs>
        <w:ind w:left="312" w:right="7422"/>
        <w:rPr>
          <w:rFonts w:ascii="Verdana" w:eastAsia="Verdana" w:hAnsi="Verdana" w:cs="Verdana"/>
          <w:sz w:val="24"/>
          <w:szCs w:val="24"/>
        </w:rPr>
      </w:pPr>
      <w:r>
        <w:rPr>
          <w:rFonts w:ascii="Verdana" w:eastAsia="Verdana" w:hAnsi="Verdana" w:cs="Verdana"/>
          <w:sz w:val="24"/>
          <w:szCs w:val="24"/>
        </w:rPr>
        <w:t>(II periodo didattico)</w:t>
      </w:r>
    </w:p>
    <w:p w:rsidR="002E2819" w:rsidRDefault="002E2819">
      <w:pPr>
        <w:tabs>
          <w:tab w:val="left" w:pos="1557"/>
          <w:tab w:val="left" w:pos="1839"/>
        </w:tabs>
        <w:ind w:left="312" w:right="7422"/>
        <w:rPr>
          <w:rFonts w:ascii="Verdana" w:eastAsia="Verdana" w:hAnsi="Verdana" w:cs="Verdana"/>
          <w:sz w:val="24"/>
          <w:szCs w:val="24"/>
        </w:rPr>
      </w:pPr>
    </w:p>
    <w:p w:rsidR="002E2819" w:rsidRDefault="00295E20">
      <w:pPr>
        <w:spacing w:before="9"/>
        <w:ind w:left="312"/>
        <w:rPr>
          <w:rFonts w:ascii="Verdana" w:eastAsia="Verdana" w:hAnsi="Verdana" w:cs="Verdana"/>
          <w:sz w:val="19"/>
          <w:szCs w:val="19"/>
        </w:rPr>
      </w:pPr>
      <w:r>
        <w:rPr>
          <w:rFonts w:ascii="Verdana" w:eastAsia="Verdana" w:hAnsi="Verdana" w:cs="Verdana"/>
          <w:sz w:val="24"/>
          <w:szCs w:val="24"/>
        </w:rPr>
        <w:t>INDIRIZZO: socio-sanitario</w:t>
      </w:r>
    </w:p>
    <w:p w:rsidR="002E2819" w:rsidRDefault="002E2819">
      <w:pPr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b/>
          <w:color w:val="000000"/>
          <w:sz w:val="28"/>
          <w:szCs w:val="28"/>
        </w:rPr>
      </w:pPr>
    </w:p>
    <w:p w:rsidR="002E2819" w:rsidRDefault="00295E20">
      <w:pPr>
        <w:pStyle w:val="Titolo1"/>
        <w:spacing w:before="215"/>
        <w:ind w:firstLine="312"/>
        <w:rPr>
          <w:rFonts w:ascii="Verdana" w:eastAsia="Verdana" w:hAnsi="Verdana" w:cs="Verdana"/>
          <w:b w:val="0"/>
          <w:sz w:val="22"/>
          <w:szCs w:val="22"/>
        </w:rPr>
      </w:pPr>
      <w:r>
        <w:rPr>
          <w:rFonts w:ascii="Verdana" w:eastAsia="Verdana" w:hAnsi="Verdana" w:cs="Verdana"/>
          <w:b w:val="0"/>
          <w:sz w:val="22"/>
          <w:szCs w:val="22"/>
        </w:rPr>
        <w:t>Le parti evidenziate sono da intendersi come obiettivi minimi.</w:t>
      </w:r>
    </w:p>
    <w:p w:rsidR="002E2819" w:rsidRDefault="002E2819">
      <w:pPr>
        <w:pBdr>
          <w:top w:val="nil"/>
          <w:left w:val="nil"/>
          <w:bottom w:val="nil"/>
          <w:right w:val="nil"/>
          <w:between w:val="nil"/>
        </w:pBdr>
        <w:spacing w:before="7" w:after="1"/>
        <w:rPr>
          <w:rFonts w:ascii="Verdana" w:eastAsia="Verdana" w:hAnsi="Verdana" w:cs="Verdana"/>
          <w:color w:val="000000"/>
        </w:rPr>
      </w:pPr>
    </w:p>
    <w:tbl>
      <w:tblPr>
        <w:tblStyle w:val="a7"/>
        <w:tblW w:w="10643" w:type="dxa"/>
        <w:tblInd w:w="13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906"/>
        <w:gridCol w:w="6338"/>
        <w:gridCol w:w="1399"/>
      </w:tblGrid>
      <w:tr w:rsidR="002E2819">
        <w:trPr>
          <w:trHeight w:val="482"/>
        </w:trPr>
        <w:tc>
          <w:tcPr>
            <w:tcW w:w="2906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8" w:lineRule="auto"/>
              <w:ind w:left="523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CONTENUTI DIDATTICI</w:t>
            </w:r>
          </w:p>
        </w:tc>
        <w:tc>
          <w:tcPr>
            <w:tcW w:w="6338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8" w:lineRule="auto"/>
              <w:ind w:left="151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COMPETENZE (PER MODULO)</w:t>
            </w:r>
          </w:p>
        </w:tc>
        <w:tc>
          <w:tcPr>
            <w:tcW w:w="1399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" w:line="237" w:lineRule="auto"/>
              <w:ind w:right="86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TEMPI DI ATTUAZIONE</w:t>
            </w:r>
          </w:p>
        </w:tc>
      </w:tr>
      <w:tr w:rsidR="002E2819">
        <w:trPr>
          <w:trHeight w:val="803"/>
        </w:trPr>
        <w:tc>
          <w:tcPr>
            <w:tcW w:w="2906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0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MODULO 1:</w:t>
            </w: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7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Economia, società e politica dopo l’anno Mille</w:t>
            </w:r>
          </w:p>
        </w:tc>
        <w:tc>
          <w:tcPr>
            <w:tcW w:w="6338" w:type="dxa"/>
          </w:tcPr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  <w:tc>
          <w:tcPr>
            <w:tcW w:w="1399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13" w:right="55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 xml:space="preserve">settembre </w:t>
            </w:r>
          </w:p>
        </w:tc>
      </w:tr>
      <w:tr w:rsidR="002E2819">
        <w:trPr>
          <w:trHeight w:val="2258"/>
        </w:trPr>
        <w:tc>
          <w:tcPr>
            <w:tcW w:w="2906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U.D. 1</w:t>
            </w: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La rinascita dell’Occidente</w:t>
            </w:r>
          </w:p>
        </w:tc>
        <w:tc>
          <w:tcPr>
            <w:tcW w:w="6338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"/>
              <w:ind w:left="67" w:right="190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  <w:t>Riconoscere i caratteri generali della società basso- medievale. Individuare i protagonisti politici della società del Basso Medioevo</w:t>
            </w: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.</w:t>
            </w: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"/>
              <w:ind w:left="67" w:right="190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"/>
              <w:ind w:left="67" w:right="190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Comprendere e riconoscere sul territorio il moltiplicarsi delle città e l'estensione delle terre coltivate dopo l'anno M</w:t>
            </w: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 xml:space="preserve">ille. </w:t>
            </w: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"/>
              <w:ind w:left="67" w:right="190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"/>
              <w:ind w:left="67" w:right="190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 xml:space="preserve">Conoscere le caratteristiche dei nuovi strumenti agricoli. Saper collegare le innovazioni tecnologiche all'evoluzione del sistema economico-produttivo (con particolare riferimento alla rivoluzione agricola). </w:t>
            </w: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"/>
              <w:ind w:left="67" w:right="190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"/>
              <w:ind w:left="67" w:right="190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bookmarkStart w:id="1" w:name="_heading=h.gjdgxs" w:colFirst="0" w:colLast="0"/>
            <w:bookmarkEnd w:id="1"/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Conoscere i diversi aspetti del risveg</w:t>
            </w: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lio culturale fra XI e XII secolo.</w:t>
            </w:r>
          </w:p>
        </w:tc>
        <w:tc>
          <w:tcPr>
            <w:tcW w:w="1399" w:type="dxa"/>
          </w:tcPr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</w:tr>
      <w:tr w:rsidR="002E2819">
        <w:trPr>
          <w:trHeight w:val="1425"/>
        </w:trPr>
        <w:tc>
          <w:tcPr>
            <w:tcW w:w="2906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8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U.D. 2</w:t>
            </w: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"/>
              <w:ind w:left="69" w:right="311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Un nuovo organismo politico: il Comune</w:t>
            </w:r>
          </w:p>
        </w:tc>
        <w:tc>
          <w:tcPr>
            <w:tcW w:w="6338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" w:line="268" w:lineRule="auto"/>
              <w:ind w:left="67" w:right="191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  <w:t>Saper delineare l'evoluzione del sistema politico-istituzionale ed economico-produttivo delle autonomie cittadine</w:t>
            </w: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 xml:space="preserve">, facendo riferimento agli aspetti demografici, sociali e culturali della società urbana. </w:t>
            </w: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" w:line="268" w:lineRule="auto"/>
              <w:ind w:left="67" w:right="191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" w:line="268" w:lineRule="auto"/>
              <w:ind w:left="67" w:right="191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Conoscere le vicende relative allo scontro fra Comuni e Impero.</w:t>
            </w:r>
          </w:p>
        </w:tc>
        <w:tc>
          <w:tcPr>
            <w:tcW w:w="1399" w:type="dxa"/>
          </w:tcPr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</w:tr>
    </w:tbl>
    <w:p w:rsidR="002E2819" w:rsidRDefault="002E2819">
      <w:pPr>
        <w:rPr>
          <w:rFonts w:ascii="Verdana" w:eastAsia="Verdana" w:hAnsi="Verdana" w:cs="Verdana"/>
          <w:sz w:val="16"/>
          <w:szCs w:val="16"/>
        </w:rPr>
        <w:sectPr w:rsidR="002E2819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10" w:h="16840"/>
          <w:pgMar w:top="660" w:right="160" w:bottom="1040" w:left="700" w:header="720" w:footer="852" w:gutter="0"/>
          <w:pgNumType w:start="1"/>
          <w:cols w:space="720"/>
        </w:sectPr>
      </w:pPr>
    </w:p>
    <w:p w:rsidR="002E2819" w:rsidRDefault="002E281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Verdana" w:eastAsia="Verdana" w:hAnsi="Verdana" w:cs="Verdana"/>
          <w:sz w:val="16"/>
          <w:szCs w:val="16"/>
        </w:rPr>
      </w:pPr>
    </w:p>
    <w:tbl>
      <w:tblPr>
        <w:tblStyle w:val="a8"/>
        <w:tblW w:w="10791" w:type="dxa"/>
        <w:tblInd w:w="13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005"/>
        <w:gridCol w:w="6281"/>
        <w:gridCol w:w="1505"/>
      </w:tblGrid>
      <w:tr w:rsidR="002E2819">
        <w:trPr>
          <w:trHeight w:val="602"/>
        </w:trPr>
        <w:tc>
          <w:tcPr>
            <w:tcW w:w="3005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0" w:lineRule="auto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CONTENUTI DIDATTICI</w:t>
            </w:r>
          </w:p>
        </w:tc>
        <w:tc>
          <w:tcPr>
            <w:tcW w:w="6281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0" w:lineRule="auto"/>
              <w:ind w:left="1826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COMPETENZE (PER MODULO)</w:t>
            </w:r>
          </w:p>
        </w:tc>
        <w:tc>
          <w:tcPr>
            <w:tcW w:w="1505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0" w:lineRule="auto"/>
              <w:ind w:right="215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TEMPI DI</w:t>
            </w: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 w:line="209" w:lineRule="auto"/>
              <w:ind w:right="215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ATTUAZIONE</w:t>
            </w:r>
          </w:p>
        </w:tc>
      </w:tr>
      <w:tr w:rsidR="002E2819">
        <w:trPr>
          <w:trHeight w:val="1074"/>
        </w:trPr>
        <w:tc>
          <w:tcPr>
            <w:tcW w:w="3005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0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MODULO 2:</w:t>
            </w: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598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L'Italia delle</w:t>
            </w: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Signorie</w:t>
            </w:r>
          </w:p>
        </w:tc>
        <w:tc>
          <w:tcPr>
            <w:tcW w:w="6281" w:type="dxa"/>
          </w:tcPr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  <w:tc>
          <w:tcPr>
            <w:tcW w:w="1505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69" w:right="188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Ottobre</w:t>
            </w:r>
          </w:p>
        </w:tc>
      </w:tr>
      <w:tr w:rsidR="002E2819">
        <w:trPr>
          <w:trHeight w:val="1846"/>
        </w:trPr>
        <w:tc>
          <w:tcPr>
            <w:tcW w:w="3005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1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U.D. 1</w:t>
            </w: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37" w:lineRule="auto"/>
              <w:ind w:left="69" w:right="55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La nascita degli Stati regionali</w:t>
            </w:r>
          </w:p>
        </w:tc>
        <w:tc>
          <w:tcPr>
            <w:tcW w:w="6281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19"/>
              <w:jc w:val="both"/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  <w:t>Comprendere il passaggio dal Comune alla Signoria e dalla Signoria al Principato.</w:t>
            </w: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119"/>
              <w:jc w:val="both"/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</w:pP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91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 xml:space="preserve">Individuare l’insieme dei fattori politici ed economici che hanno determinato un cambiamento epocale. </w:t>
            </w: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191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  <w:p w:rsidR="002E2819" w:rsidRDefault="00295E2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Riconoscere le trasformazioni intervenute nella divisione storico-geografica italiana.</w:t>
            </w: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04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  <w:tc>
          <w:tcPr>
            <w:tcW w:w="1505" w:type="dxa"/>
          </w:tcPr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</w:tr>
      <w:tr w:rsidR="002E2819">
        <w:trPr>
          <w:trHeight w:val="1392"/>
        </w:trPr>
        <w:tc>
          <w:tcPr>
            <w:tcW w:w="3005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1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U.D. 2</w:t>
            </w: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1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 xml:space="preserve">Gli Stati regionali dall’equilibrio alla guerra </w:t>
            </w:r>
          </w:p>
        </w:tc>
        <w:tc>
          <w:tcPr>
            <w:tcW w:w="6281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19"/>
              <w:jc w:val="both"/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  <w:t>Comprendere il significato dell'espressione "politica dell'equilibrio".</w:t>
            </w: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19"/>
              <w:jc w:val="both"/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</w:pP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19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Comprendere le cause della fine del primato degli stati italiani.</w:t>
            </w: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19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19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Analizzare i fattori che determinano nella storia la diplomazia oppure la guerra.</w:t>
            </w: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19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  <w:tc>
          <w:tcPr>
            <w:tcW w:w="1505" w:type="dxa"/>
          </w:tcPr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</w:tr>
      <w:tr w:rsidR="002E2819">
        <w:trPr>
          <w:trHeight w:val="2150"/>
        </w:trPr>
        <w:tc>
          <w:tcPr>
            <w:tcW w:w="3005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1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U.D. 3</w:t>
            </w: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L'età umanistico-rinascimentale</w:t>
            </w:r>
          </w:p>
        </w:tc>
        <w:tc>
          <w:tcPr>
            <w:tcW w:w="6281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220"/>
              <w:jc w:val="both"/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  <w:t>Saper individuare le origini e le caratteristiche della nuova cultura umanistico-rinascimentale.</w:t>
            </w: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220"/>
              <w:jc w:val="both"/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</w:pP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7" w:lineRule="auto"/>
              <w:ind w:left="69" w:right="410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Comprendere i nuovi valori e la nuova visione del mondo dell'età umanistica.</w:t>
            </w: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7" w:lineRule="auto"/>
              <w:ind w:left="69" w:right="410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Conoscere le innovazioni tecnologiche che favoriscono il diffondersi della cultura: l'invenzione della stampa.</w:t>
            </w: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7" w:lineRule="auto"/>
              <w:ind w:left="69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Saper delineare il ruolo dell'intellettuale e il suo rapporto con il potere nelle corti rinascimentali.</w:t>
            </w:r>
          </w:p>
        </w:tc>
        <w:tc>
          <w:tcPr>
            <w:tcW w:w="1505" w:type="dxa"/>
          </w:tcPr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</w:tr>
    </w:tbl>
    <w:p w:rsidR="002E2819" w:rsidRDefault="002E2819">
      <w:pPr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sz w:val="16"/>
          <w:szCs w:val="16"/>
        </w:rPr>
      </w:pPr>
    </w:p>
    <w:tbl>
      <w:tblPr>
        <w:tblStyle w:val="a9"/>
        <w:tblW w:w="10791" w:type="dxa"/>
        <w:tblInd w:w="13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005"/>
        <w:gridCol w:w="6281"/>
        <w:gridCol w:w="1505"/>
      </w:tblGrid>
      <w:tr w:rsidR="002E2819">
        <w:trPr>
          <w:trHeight w:val="892"/>
        </w:trPr>
        <w:tc>
          <w:tcPr>
            <w:tcW w:w="3005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1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MODULO 3:</w:t>
            </w: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La svolta dell'età moderna</w:t>
            </w:r>
          </w:p>
        </w:tc>
        <w:tc>
          <w:tcPr>
            <w:tcW w:w="6281" w:type="dxa"/>
          </w:tcPr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  <w:tc>
          <w:tcPr>
            <w:tcW w:w="1505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" w:right="110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Novembre</w:t>
            </w:r>
          </w:p>
        </w:tc>
      </w:tr>
      <w:tr w:rsidR="002E2819">
        <w:trPr>
          <w:trHeight w:val="2150"/>
        </w:trPr>
        <w:tc>
          <w:tcPr>
            <w:tcW w:w="3005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1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U.D. 1</w:t>
            </w: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Le grandi scoperte e gli imperi coloniali</w:t>
            </w:r>
          </w:p>
        </w:tc>
        <w:tc>
          <w:tcPr>
            <w:tcW w:w="6281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789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Individuare i presupposti economici e tecnologici delle grandi scoperte geografiche.</w:t>
            </w: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789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7" w:lineRule="auto"/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  <w:t>Conoscere i nuovi strumenti di navigazione.</w:t>
            </w: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7" w:lineRule="auto"/>
              <w:ind w:left="69"/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</w:pP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021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  <w:t>Ricostruire il quadro delle esplorazioni quattrocentesche.</w:t>
            </w: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 xml:space="preserve"> </w:t>
            </w: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1021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021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 xml:space="preserve">Individuare le principali. caratteristiche delle </w:t>
            </w:r>
            <w:proofErr w:type="gramStart"/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civiltà  precolombiane</w:t>
            </w:r>
            <w:proofErr w:type="gramEnd"/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.</w:t>
            </w: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1021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1070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Saper cogliere i caratteri della colonizzazione spagnola e portoghese e le loro conseguenze sulle popolazioni locali.</w:t>
            </w:r>
          </w:p>
        </w:tc>
        <w:tc>
          <w:tcPr>
            <w:tcW w:w="1505" w:type="dxa"/>
          </w:tcPr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</w:tr>
    </w:tbl>
    <w:p w:rsidR="002E2819" w:rsidRDefault="002E2819">
      <w:pPr>
        <w:pBdr>
          <w:top w:val="nil"/>
          <w:left w:val="nil"/>
          <w:bottom w:val="nil"/>
          <w:right w:val="nil"/>
          <w:between w:val="nil"/>
        </w:pBdr>
        <w:spacing w:before="3"/>
        <w:rPr>
          <w:rFonts w:ascii="Verdana" w:eastAsia="Verdana" w:hAnsi="Verdana" w:cs="Verdana"/>
          <w:color w:val="000000"/>
          <w:sz w:val="16"/>
          <w:szCs w:val="16"/>
        </w:rPr>
      </w:pPr>
    </w:p>
    <w:tbl>
      <w:tblPr>
        <w:tblStyle w:val="aa"/>
        <w:tblW w:w="10773" w:type="dxa"/>
        <w:tblInd w:w="1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978"/>
        <w:gridCol w:w="6235"/>
        <w:gridCol w:w="1560"/>
      </w:tblGrid>
      <w:tr w:rsidR="002E2819">
        <w:trPr>
          <w:trHeight w:val="1463"/>
        </w:trPr>
        <w:tc>
          <w:tcPr>
            <w:tcW w:w="2978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U.D. 2</w:t>
            </w: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13" w:lineRule="auto"/>
              <w:ind w:left="69" w:right="272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La Riforma Protestante e la Controriforma Cattolica</w:t>
            </w:r>
          </w:p>
        </w:tc>
        <w:tc>
          <w:tcPr>
            <w:tcW w:w="6235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jc w:val="both"/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  <w:t>Individuare le cause della Riforma Protestante</w:t>
            </w: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left="108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" w:line="216" w:lineRule="auto"/>
              <w:ind w:right="175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Individuare le conseguenze sociali e politiche della Riforma.</w:t>
            </w: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" w:line="216" w:lineRule="auto"/>
              <w:ind w:left="108" w:right="175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" w:line="216" w:lineRule="auto"/>
              <w:ind w:right="175"/>
              <w:jc w:val="both"/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  <w:t>Individuare gli strumenti di difesa adottati dalla Chiesa Cattolica e i risultati del Concilio di Trento.</w:t>
            </w: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" w:line="216" w:lineRule="auto"/>
              <w:ind w:left="108" w:right="175"/>
              <w:jc w:val="both"/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</w:pP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Individuare le cause delle guerre di religione europee.</w:t>
            </w: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5" w:lineRule="auto"/>
              <w:ind w:left="108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  <w:tc>
          <w:tcPr>
            <w:tcW w:w="1560" w:type="dxa"/>
          </w:tcPr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</w:tr>
    </w:tbl>
    <w:p w:rsidR="002E2819" w:rsidRDefault="002E2819">
      <w:pPr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sz w:val="16"/>
          <w:szCs w:val="16"/>
        </w:rPr>
      </w:pPr>
    </w:p>
    <w:p w:rsidR="002E2819" w:rsidRDefault="002E2819">
      <w:pPr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sz w:val="16"/>
          <w:szCs w:val="16"/>
        </w:rPr>
      </w:pPr>
    </w:p>
    <w:p w:rsidR="002E2819" w:rsidRDefault="002E2819">
      <w:pPr>
        <w:pBdr>
          <w:top w:val="nil"/>
          <w:left w:val="nil"/>
          <w:bottom w:val="nil"/>
          <w:right w:val="nil"/>
          <w:between w:val="nil"/>
        </w:pBdr>
        <w:spacing w:before="3"/>
        <w:rPr>
          <w:rFonts w:ascii="Verdana" w:eastAsia="Verdana" w:hAnsi="Verdana" w:cs="Verdana"/>
          <w:color w:val="000000"/>
          <w:sz w:val="16"/>
          <w:szCs w:val="16"/>
        </w:rPr>
      </w:pPr>
    </w:p>
    <w:tbl>
      <w:tblPr>
        <w:tblStyle w:val="ab"/>
        <w:tblW w:w="10776" w:type="dxa"/>
        <w:tblInd w:w="12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736"/>
        <w:gridCol w:w="6521"/>
        <w:gridCol w:w="1519"/>
      </w:tblGrid>
      <w:tr w:rsidR="002E2819">
        <w:trPr>
          <w:trHeight w:val="691"/>
        </w:trPr>
        <w:tc>
          <w:tcPr>
            <w:tcW w:w="2736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0" w:lineRule="auto"/>
              <w:ind w:left="2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CONTENUTI DIDATTICI</w:t>
            </w:r>
          </w:p>
        </w:tc>
        <w:tc>
          <w:tcPr>
            <w:tcW w:w="6521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0" w:lineRule="auto"/>
              <w:ind w:left="1543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COMPETENZE (PER MODULO)</w:t>
            </w:r>
          </w:p>
        </w:tc>
        <w:tc>
          <w:tcPr>
            <w:tcW w:w="1519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0" w:lineRule="auto"/>
              <w:ind w:right="216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TEMPI DI</w:t>
            </w: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69" w:right="222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ATTUAZIONE</w:t>
            </w:r>
          </w:p>
        </w:tc>
      </w:tr>
      <w:tr w:rsidR="002E2819">
        <w:trPr>
          <w:trHeight w:val="806"/>
        </w:trPr>
        <w:tc>
          <w:tcPr>
            <w:tcW w:w="2736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0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Modulo 4:</w:t>
            </w: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7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Il Seicento europeo</w:t>
            </w: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fra crisi e sviluppo</w:t>
            </w:r>
          </w:p>
        </w:tc>
        <w:tc>
          <w:tcPr>
            <w:tcW w:w="6521" w:type="dxa"/>
          </w:tcPr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  <w:tc>
          <w:tcPr>
            <w:tcW w:w="1519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1" w:lineRule="auto"/>
              <w:ind w:left="165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Dicembre-Gennaio</w:t>
            </w:r>
          </w:p>
        </w:tc>
      </w:tr>
      <w:tr w:rsidR="002E2819">
        <w:trPr>
          <w:trHeight w:val="1343"/>
        </w:trPr>
        <w:tc>
          <w:tcPr>
            <w:tcW w:w="2736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0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lastRenderedPageBreak/>
              <w:t>U.D. 1</w:t>
            </w: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321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La Francia di Richelieu e la guerra dei</w:t>
            </w: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Trent'anni</w:t>
            </w:r>
          </w:p>
        </w:tc>
        <w:tc>
          <w:tcPr>
            <w:tcW w:w="6521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0" w:lineRule="auto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Conoscere la politica di Richelieu.</w:t>
            </w: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0" w:lineRule="auto"/>
              <w:ind w:left="69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832"/>
              <w:jc w:val="both"/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  <w:t>Conoscere cause, eventi principali e conseguenze della guerra dei Trent'anni.</w:t>
            </w: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832"/>
              <w:jc w:val="both"/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</w:pP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471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 xml:space="preserve">Conoscere il nuovo assetto geo-politico dell'Europa dopo la pace di </w:t>
            </w:r>
            <w:proofErr w:type="spellStart"/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Westfalia</w:t>
            </w:r>
            <w:proofErr w:type="spellEnd"/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.</w:t>
            </w:r>
          </w:p>
        </w:tc>
        <w:tc>
          <w:tcPr>
            <w:tcW w:w="1519" w:type="dxa"/>
          </w:tcPr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</w:tr>
      <w:tr w:rsidR="002E2819">
        <w:trPr>
          <w:trHeight w:val="1459"/>
        </w:trPr>
        <w:tc>
          <w:tcPr>
            <w:tcW w:w="2736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1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U.D. 2</w:t>
            </w: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37" w:lineRule="auto"/>
              <w:ind w:left="69" w:right="431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La Francia verso l’assolutismo</w:t>
            </w:r>
          </w:p>
        </w:tc>
        <w:tc>
          <w:tcPr>
            <w:tcW w:w="6521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  <w:t>Individuare le caratteristiche politiche, religiose ed economiche dell’assolutismo.</w:t>
            </w: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 xml:space="preserve">Riconoscere le trasformazioni delle istituzioni. </w:t>
            </w: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Individuare in un periodo storico le radici delle trasformazioni successive.</w:t>
            </w:r>
          </w:p>
        </w:tc>
        <w:tc>
          <w:tcPr>
            <w:tcW w:w="1519" w:type="dxa"/>
          </w:tcPr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</w:tr>
    </w:tbl>
    <w:p w:rsidR="002E2819" w:rsidRDefault="002E2819">
      <w:pPr>
        <w:spacing w:before="56"/>
        <w:rPr>
          <w:rFonts w:ascii="Verdana" w:eastAsia="Verdana" w:hAnsi="Verdana" w:cs="Verdana"/>
          <w:sz w:val="16"/>
          <w:szCs w:val="16"/>
        </w:rPr>
      </w:pPr>
    </w:p>
    <w:tbl>
      <w:tblPr>
        <w:tblStyle w:val="ac"/>
        <w:tblW w:w="10776" w:type="dxa"/>
        <w:tblInd w:w="12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736"/>
        <w:gridCol w:w="6521"/>
        <w:gridCol w:w="1519"/>
      </w:tblGrid>
      <w:tr w:rsidR="002E2819">
        <w:trPr>
          <w:trHeight w:val="691"/>
        </w:trPr>
        <w:tc>
          <w:tcPr>
            <w:tcW w:w="2736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0" w:lineRule="auto"/>
              <w:ind w:left="2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bookmarkStart w:id="2" w:name="_heading=h.30j0zll" w:colFirst="0" w:colLast="0"/>
            <w:bookmarkEnd w:id="2"/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CONTENUTI DIDATTICI</w:t>
            </w:r>
          </w:p>
        </w:tc>
        <w:tc>
          <w:tcPr>
            <w:tcW w:w="6521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0" w:lineRule="auto"/>
              <w:ind w:left="1543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COMPETENZE (PER MODULO)</w:t>
            </w:r>
          </w:p>
        </w:tc>
        <w:tc>
          <w:tcPr>
            <w:tcW w:w="1519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0" w:lineRule="auto"/>
              <w:ind w:right="216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TEMPI DI</w:t>
            </w: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right="222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ATTUAZIONE</w:t>
            </w:r>
          </w:p>
        </w:tc>
      </w:tr>
      <w:tr w:rsidR="002E2819">
        <w:trPr>
          <w:trHeight w:val="806"/>
        </w:trPr>
        <w:tc>
          <w:tcPr>
            <w:tcW w:w="2736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1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MODULO 5:</w:t>
            </w: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Il mondo dell’Antico Regime</w:t>
            </w:r>
          </w:p>
        </w:tc>
        <w:tc>
          <w:tcPr>
            <w:tcW w:w="6521" w:type="dxa"/>
          </w:tcPr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  <w:tc>
          <w:tcPr>
            <w:tcW w:w="1519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1" w:lineRule="auto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Febbraio-Marzo</w:t>
            </w:r>
          </w:p>
        </w:tc>
      </w:tr>
      <w:tr w:rsidR="002E2819">
        <w:trPr>
          <w:trHeight w:val="1343"/>
        </w:trPr>
        <w:tc>
          <w:tcPr>
            <w:tcW w:w="2736" w:type="dxa"/>
          </w:tcPr>
          <w:p w:rsidR="002E2819" w:rsidRDefault="00295E20">
            <w:pPr>
              <w:ind w:left="784" w:right="95" w:hanging="72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U.D. 1 Economia e società nel Settecento</w:t>
            </w: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  <w:tc>
          <w:tcPr>
            <w:tcW w:w="6521" w:type="dxa"/>
          </w:tcPr>
          <w:p w:rsidR="002E2819" w:rsidRDefault="00295E20">
            <w:pPr>
              <w:tabs>
                <w:tab w:val="left" w:pos="815"/>
                <w:tab w:val="left" w:pos="816"/>
              </w:tabs>
              <w:ind w:right="373"/>
              <w:jc w:val="both"/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Individuare le caratteristiche dell’economia della prima metà del Settecento.</w:t>
            </w:r>
          </w:p>
          <w:p w:rsidR="002E2819" w:rsidRDefault="002E2819">
            <w:pPr>
              <w:tabs>
                <w:tab w:val="left" w:pos="815"/>
                <w:tab w:val="left" w:pos="816"/>
              </w:tabs>
              <w:ind w:right="373"/>
              <w:jc w:val="both"/>
              <w:rPr>
                <w:rFonts w:ascii="Verdana" w:eastAsia="Verdana" w:hAnsi="Verdana" w:cs="Verdana"/>
                <w:b/>
                <w:sz w:val="16"/>
                <w:szCs w:val="16"/>
              </w:rPr>
            </w:pPr>
          </w:p>
          <w:p w:rsidR="002E2819" w:rsidRDefault="00295E20">
            <w:pPr>
              <w:tabs>
                <w:tab w:val="left" w:pos="784"/>
                <w:tab w:val="left" w:pos="785"/>
              </w:tabs>
              <w:ind w:right="184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Distinguere le caratteristiche della società europea della prima metà del Settecento</w:t>
            </w: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471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  <w:tc>
          <w:tcPr>
            <w:tcW w:w="1519" w:type="dxa"/>
          </w:tcPr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</w:tr>
      <w:tr w:rsidR="002E2819">
        <w:trPr>
          <w:trHeight w:val="2164"/>
        </w:trPr>
        <w:tc>
          <w:tcPr>
            <w:tcW w:w="2736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U.D. 2</w:t>
            </w:r>
          </w:p>
          <w:p w:rsidR="002E2819" w:rsidRDefault="00295E20">
            <w:pPr>
              <w:ind w:left="64" w:right="308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U.D. 2 La crisi dell’Antico regime e le rivoluzioni</w:t>
            </w:r>
          </w:p>
          <w:p w:rsidR="002E2819" w:rsidRDefault="00295E20">
            <w:pPr>
              <w:tabs>
                <w:tab w:val="left" w:pos="406"/>
              </w:tabs>
              <w:spacing w:line="293" w:lineRule="auto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L’Illuminismo</w:t>
            </w:r>
          </w:p>
          <w:p w:rsidR="002E2819" w:rsidRDefault="00295E20">
            <w:pPr>
              <w:tabs>
                <w:tab w:val="left" w:pos="418"/>
              </w:tabs>
              <w:spacing w:line="293" w:lineRule="auto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La rivoluzione industriale</w:t>
            </w:r>
          </w:p>
          <w:p w:rsidR="002E2819" w:rsidRDefault="00295E20">
            <w:pPr>
              <w:tabs>
                <w:tab w:val="left" w:pos="418"/>
              </w:tabs>
              <w:spacing w:line="293" w:lineRule="auto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La rivoluzione americana</w:t>
            </w:r>
          </w:p>
          <w:p w:rsidR="002E2819" w:rsidRDefault="00295E20">
            <w:pPr>
              <w:tabs>
                <w:tab w:val="left" w:pos="418"/>
              </w:tabs>
              <w:spacing w:line="293" w:lineRule="auto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La rivoluzione francese</w:t>
            </w:r>
          </w:p>
          <w:p w:rsidR="002E2819" w:rsidRDefault="002E2819">
            <w:pPr>
              <w:rPr>
                <w:rFonts w:ascii="Verdana" w:eastAsia="Verdana" w:hAnsi="Verdana" w:cs="Verdana"/>
                <w:sz w:val="16"/>
                <w:szCs w:val="16"/>
              </w:rPr>
            </w:pP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37" w:lineRule="auto"/>
              <w:ind w:left="69" w:right="431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  <w:tc>
          <w:tcPr>
            <w:tcW w:w="6521" w:type="dxa"/>
          </w:tcPr>
          <w:p w:rsidR="002E2819" w:rsidRDefault="00295E20">
            <w:pPr>
              <w:tabs>
                <w:tab w:val="left" w:pos="784"/>
                <w:tab w:val="left" w:pos="785"/>
              </w:tabs>
              <w:spacing w:before="1"/>
              <w:ind w:right="172"/>
              <w:jc w:val="both"/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Riconoscere le concezioni filosofiche, culturali politiche ed economiche dell’Illuminismo.</w:t>
            </w:r>
          </w:p>
          <w:p w:rsidR="002E2819" w:rsidRDefault="002E2819">
            <w:pPr>
              <w:tabs>
                <w:tab w:val="left" w:pos="784"/>
                <w:tab w:val="left" w:pos="785"/>
              </w:tabs>
              <w:spacing w:before="1"/>
              <w:ind w:right="172"/>
              <w:jc w:val="both"/>
              <w:rPr>
                <w:rFonts w:ascii="Verdana" w:eastAsia="Verdana" w:hAnsi="Verdana" w:cs="Verdana"/>
                <w:b/>
                <w:sz w:val="16"/>
                <w:szCs w:val="16"/>
              </w:rPr>
            </w:pPr>
          </w:p>
          <w:p w:rsidR="002E2819" w:rsidRDefault="00295E20">
            <w:pPr>
              <w:tabs>
                <w:tab w:val="left" w:pos="784"/>
                <w:tab w:val="left" w:pos="785"/>
              </w:tabs>
              <w:spacing w:before="1"/>
              <w:ind w:right="172"/>
              <w:jc w:val="both"/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 xml:space="preserve">Individuare le conseguenze delle politiche economiche e sociali </w:t>
            </w:r>
            <w:r>
              <w:rPr>
                <w:rFonts w:ascii="Verdana" w:eastAsia="Verdana" w:hAnsi="Verdana" w:cs="Verdana"/>
                <w:b/>
                <w:i/>
                <w:sz w:val="16"/>
                <w:szCs w:val="16"/>
              </w:rPr>
              <w:t>illuminate.</w:t>
            </w:r>
          </w:p>
          <w:p w:rsidR="002E2819" w:rsidRDefault="002E2819">
            <w:pPr>
              <w:jc w:val="both"/>
              <w:rPr>
                <w:rFonts w:ascii="Verdana" w:eastAsia="Verdana" w:hAnsi="Verdana" w:cs="Verdana"/>
                <w:i/>
                <w:sz w:val="16"/>
                <w:szCs w:val="16"/>
              </w:rPr>
            </w:pPr>
          </w:p>
          <w:p w:rsidR="002E2819" w:rsidRDefault="00295E20">
            <w:pPr>
              <w:tabs>
                <w:tab w:val="left" w:pos="784"/>
                <w:tab w:val="left" w:pos="785"/>
              </w:tabs>
              <w:ind w:right="158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 xml:space="preserve">Riconoscere e distinguere quali </w:t>
            </w:r>
            <w:proofErr w:type="gramStart"/>
            <w:r>
              <w:rPr>
                <w:rFonts w:ascii="Verdana" w:eastAsia="Verdana" w:hAnsi="Verdana" w:cs="Verdana"/>
                <w:sz w:val="16"/>
                <w:szCs w:val="16"/>
              </w:rPr>
              <w:t>furono  le</w:t>
            </w:r>
            <w:proofErr w:type="gramEnd"/>
            <w:r>
              <w:rPr>
                <w:rFonts w:ascii="Verdana" w:eastAsia="Verdana" w:hAnsi="Verdana" w:cs="Verdana"/>
                <w:sz w:val="16"/>
                <w:szCs w:val="16"/>
              </w:rPr>
              <w:t xml:space="preserve"> fasi delle rivoluzioni.</w:t>
            </w: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5" w:lineRule="auto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  <w:t>Distinguere le cause e le conseguenze sul piano politico, economico e sociale delle rivoluzioni.</w:t>
            </w:r>
          </w:p>
        </w:tc>
        <w:tc>
          <w:tcPr>
            <w:tcW w:w="1519" w:type="dxa"/>
          </w:tcPr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</w:tr>
    </w:tbl>
    <w:p w:rsidR="002E2819" w:rsidRDefault="002E2819">
      <w:pPr>
        <w:spacing w:before="56"/>
        <w:rPr>
          <w:rFonts w:ascii="Verdana" w:eastAsia="Verdana" w:hAnsi="Verdana" w:cs="Verdana"/>
          <w:sz w:val="16"/>
          <w:szCs w:val="16"/>
        </w:rPr>
      </w:pPr>
    </w:p>
    <w:p w:rsidR="002E2819" w:rsidRDefault="002E2819">
      <w:pPr>
        <w:spacing w:before="56"/>
        <w:rPr>
          <w:rFonts w:ascii="Verdana" w:eastAsia="Verdana" w:hAnsi="Verdana" w:cs="Verdana"/>
          <w:sz w:val="16"/>
          <w:szCs w:val="16"/>
        </w:rPr>
      </w:pPr>
    </w:p>
    <w:tbl>
      <w:tblPr>
        <w:tblStyle w:val="ad"/>
        <w:tblW w:w="10776" w:type="dxa"/>
        <w:tblInd w:w="12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736"/>
        <w:gridCol w:w="6521"/>
        <w:gridCol w:w="1519"/>
      </w:tblGrid>
      <w:tr w:rsidR="002E2819">
        <w:trPr>
          <w:trHeight w:val="691"/>
        </w:trPr>
        <w:tc>
          <w:tcPr>
            <w:tcW w:w="2736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0" w:lineRule="auto"/>
              <w:ind w:left="2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bookmarkStart w:id="3" w:name="_heading=h.1fob9te" w:colFirst="0" w:colLast="0"/>
            <w:bookmarkEnd w:id="3"/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CONTENUTI DIDATTICI</w:t>
            </w:r>
          </w:p>
        </w:tc>
        <w:tc>
          <w:tcPr>
            <w:tcW w:w="6521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0" w:lineRule="auto"/>
              <w:ind w:left="1543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COMPETENZE (PER MODULO)</w:t>
            </w:r>
          </w:p>
        </w:tc>
        <w:tc>
          <w:tcPr>
            <w:tcW w:w="1519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0" w:lineRule="auto"/>
              <w:ind w:right="216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TEMPI DI</w:t>
            </w: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69" w:right="222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ATTUAZIONE</w:t>
            </w:r>
          </w:p>
        </w:tc>
      </w:tr>
      <w:tr w:rsidR="002E2819">
        <w:trPr>
          <w:trHeight w:val="806"/>
        </w:trPr>
        <w:tc>
          <w:tcPr>
            <w:tcW w:w="2736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1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MODULO 6:</w:t>
            </w: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L’età di Napoleone e della Restaurazione</w:t>
            </w:r>
          </w:p>
        </w:tc>
        <w:tc>
          <w:tcPr>
            <w:tcW w:w="6521" w:type="dxa"/>
          </w:tcPr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  <w:tc>
          <w:tcPr>
            <w:tcW w:w="1519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1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Aprile</w:t>
            </w:r>
          </w:p>
        </w:tc>
      </w:tr>
      <w:tr w:rsidR="002E2819">
        <w:trPr>
          <w:trHeight w:val="1343"/>
        </w:trPr>
        <w:tc>
          <w:tcPr>
            <w:tcW w:w="2736" w:type="dxa"/>
          </w:tcPr>
          <w:p w:rsidR="002E2819" w:rsidRDefault="00295E20">
            <w:pPr>
              <w:ind w:left="784" w:right="95" w:hanging="720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U.D. 1 L’ascesa di Napoleone</w:t>
            </w: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  <w:tc>
          <w:tcPr>
            <w:tcW w:w="6521" w:type="dxa"/>
          </w:tcPr>
          <w:p w:rsidR="002E2819" w:rsidRDefault="00295E20">
            <w:pPr>
              <w:tabs>
                <w:tab w:val="left" w:pos="784"/>
                <w:tab w:val="left" w:pos="785"/>
              </w:tabs>
              <w:ind w:right="184"/>
              <w:jc w:val="both"/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Analizzare gli eventi e le cause all’origine del regime napoleonico.</w:t>
            </w:r>
          </w:p>
          <w:p w:rsidR="002E2819" w:rsidRDefault="002E2819">
            <w:pPr>
              <w:tabs>
                <w:tab w:val="left" w:pos="784"/>
                <w:tab w:val="left" w:pos="785"/>
              </w:tabs>
              <w:ind w:right="184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</w:p>
          <w:p w:rsidR="002E2819" w:rsidRDefault="00295E20">
            <w:pPr>
              <w:tabs>
                <w:tab w:val="left" w:pos="784"/>
                <w:tab w:val="left" w:pos="785"/>
              </w:tabs>
              <w:ind w:right="184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Comprendere i fattori politici e sociali che hanno determinato l’avvento di Napoleone.</w:t>
            </w:r>
          </w:p>
        </w:tc>
        <w:tc>
          <w:tcPr>
            <w:tcW w:w="1519" w:type="dxa"/>
          </w:tcPr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</w:tr>
      <w:tr w:rsidR="002E2819">
        <w:trPr>
          <w:trHeight w:val="1503"/>
        </w:trPr>
        <w:tc>
          <w:tcPr>
            <w:tcW w:w="2736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U.D. 2</w:t>
            </w:r>
          </w:p>
          <w:p w:rsidR="002E2819" w:rsidRDefault="00295E20">
            <w:pPr>
              <w:ind w:left="64" w:right="308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L’impero napoleonico</w:t>
            </w: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37" w:lineRule="auto"/>
              <w:ind w:left="69" w:right="431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  <w:tc>
          <w:tcPr>
            <w:tcW w:w="6521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  <w:t>Individuare i cambiamenti istituzionali introdotti da Napoleone.</w:t>
            </w: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Riconoscere le innovazioni e le continuità tra l’epoca napoleonica e la rivoluzione e i cambiamenti di lunga durata.</w:t>
            </w:r>
          </w:p>
        </w:tc>
        <w:tc>
          <w:tcPr>
            <w:tcW w:w="1519" w:type="dxa"/>
          </w:tcPr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</w:tr>
      <w:tr w:rsidR="002E2819">
        <w:trPr>
          <w:trHeight w:val="1503"/>
        </w:trPr>
        <w:tc>
          <w:tcPr>
            <w:tcW w:w="2736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U.D. 1</w:t>
            </w: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La Restaurazione</w:t>
            </w:r>
          </w:p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  <w:tc>
          <w:tcPr>
            <w:tcW w:w="6521" w:type="dxa"/>
          </w:tcPr>
          <w:p w:rsidR="002E2819" w:rsidRDefault="00295E20">
            <w:pPr>
              <w:tabs>
                <w:tab w:val="left" w:pos="784"/>
                <w:tab w:val="left" w:pos="785"/>
              </w:tabs>
              <w:spacing w:before="1"/>
              <w:ind w:right="172"/>
              <w:jc w:val="both"/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Individuare i cardini dello scontro ideologico tra i princìpi della Restaurazione e le idee liberali.</w:t>
            </w:r>
          </w:p>
          <w:p w:rsidR="002E2819" w:rsidRDefault="002E2819">
            <w:pPr>
              <w:tabs>
                <w:tab w:val="left" w:pos="784"/>
                <w:tab w:val="left" w:pos="785"/>
              </w:tabs>
              <w:spacing w:before="1"/>
              <w:ind w:right="172"/>
              <w:jc w:val="both"/>
              <w:rPr>
                <w:rFonts w:ascii="Verdana" w:eastAsia="Verdana" w:hAnsi="Verdana" w:cs="Verdana"/>
                <w:b/>
                <w:sz w:val="16"/>
                <w:szCs w:val="16"/>
              </w:rPr>
            </w:pP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Confrontare le ideologie della conservazione con quelle dell’innovazione e individuare i differenti esiti ottenuti nei diversi Stati europei.</w:t>
            </w:r>
          </w:p>
        </w:tc>
        <w:tc>
          <w:tcPr>
            <w:tcW w:w="1519" w:type="dxa"/>
          </w:tcPr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</w:tr>
    </w:tbl>
    <w:p w:rsidR="002E2819" w:rsidRDefault="002E2819">
      <w:pPr>
        <w:spacing w:before="56"/>
        <w:ind w:left="692"/>
        <w:rPr>
          <w:rFonts w:ascii="Verdana" w:eastAsia="Verdana" w:hAnsi="Verdana" w:cs="Verdana"/>
          <w:sz w:val="16"/>
          <w:szCs w:val="16"/>
        </w:rPr>
      </w:pPr>
    </w:p>
    <w:tbl>
      <w:tblPr>
        <w:tblStyle w:val="ae"/>
        <w:tblW w:w="10776" w:type="dxa"/>
        <w:tblInd w:w="12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736"/>
        <w:gridCol w:w="6521"/>
        <w:gridCol w:w="1519"/>
      </w:tblGrid>
      <w:tr w:rsidR="002E2819">
        <w:trPr>
          <w:trHeight w:val="691"/>
        </w:trPr>
        <w:tc>
          <w:tcPr>
            <w:tcW w:w="2736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0" w:lineRule="auto"/>
              <w:ind w:left="2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lastRenderedPageBreak/>
              <w:t>CONTENUTI DIDATTICI</w:t>
            </w:r>
          </w:p>
        </w:tc>
        <w:tc>
          <w:tcPr>
            <w:tcW w:w="6521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0" w:lineRule="auto"/>
              <w:ind w:left="1543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COMPETENZE (PER MODULO)</w:t>
            </w:r>
          </w:p>
        </w:tc>
        <w:tc>
          <w:tcPr>
            <w:tcW w:w="1519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0" w:lineRule="auto"/>
              <w:ind w:right="216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TEMPI DI</w:t>
            </w: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69" w:right="222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ATTUAZIONE</w:t>
            </w:r>
          </w:p>
        </w:tc>
      </w:tr>
      <w:tr w:rsidR="002E2819">
        <w:trPr>
          <w:trHeight w:val="806"/>
        </w:trPr>
        <w:tc>
          <w:tcPr>
            <w:tcW w:w="2736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1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MODULO 7:</w:t>
            </w: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il 1848 e l’Unificazione d’Italia</w:t>
            </w:r>
          </w:p>
        </w:tc>
        <w:tc>
          <w:tcPr>
            <w:tcW w:w="6521" w:type="dxa"/>
          </w:tcPr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  <w:tc>
          <w:tcPr>
            <w:tcW w:w="1519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1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Maggio-giugno</w:t>
            </w:r>
          </w:p>
        </w:tc>
      </w:tr>
      <w:tr w:rsidR="002E2819">
        <w:trPr>
          <w:trHeight w:val="1048"/>
        </w:trPr>
        <w:tc>
          <w:tcPr>
            <w:tcW w:w="2736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U.D.1</w:t>
            </w: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left="69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L’Italia prima del 1848 e la svolta del ‘48</w:t>
            </w:r>
          </w:p>
        </w:tc>
        <w:tc>
          <w:tcPr>
            <w:tcW w:w="6521" w:type="dxa"/>
          </w:tcPr>
          <w:p w:rsidR="002E2819" w:rsidRDefault="00295E20">
            <w:pPr>
              <w:tabs>
                <w:tab w:val="left" w:pos="784"/>
                <w:tab w:val="left" w:pos="785"/>
              </w:tabs>
              <w:spacing w:before="1"/>
              <w:ind w:right="172"/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Individuare le affinità e le differenze tra le teorie politiche risorgimentali.</w:t>
            </w:r>
          </w:p>
          <w:p w:rsidR="002E2819" w:rsidRDefault="002E2819">
            <w:pPr>
              <w:tabs>
                <w:tab w:val="left" w:pos="784"/>
                <w:tab w:val="left" w:pos="785"/>
              </w:tabs>
              <w:spacing w:before="1"/>
              <w:ind w:right="172"/>
              <w:rPr>
                <w:rFonts w:ascii="Verdana" w:eastAsia="Verdana" w:hAnsi="Verdana" w:cs="Verdana"/>
                <w:sz w:val="16"/>
                <w:szCs w:val="16"/>
              </w:rPr>
            </w:pPr>
          </w:p>
          <w:p w:rsidR="002E2819" w:rsidRDefault="00295E20">
            <w:pPr>
              <w:tabs>
                <w:tab w:val="left" w:pos="784"/>
                <w:tab w:val="left" w:pos="785"/>
              </w:tabs>
              <w:spacing w:before="1"/>
              <w:ind w:right="172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Comprendere il rapporto tra la teoria politica e gli esiti storici.</w:t>
            </w:r>
          </w:p>
          <w:p w:rsidR="002E2819" w:rsidRDefault="002E2819">
            <w:pPr>
              <w:tabs>
                <w:tab w:val="left" w:pos="784"/>
                <w:tab w:val="left" w:pos="785"/>
              </w:tabs>
              <w:spacing w:before="1"/>
              <w:ind w:right="172"/>
              <w:rPr>
                <w:rFonts w:ascii="Verdana" w:eastAsia="Verdana" w:hAnsi="Verdana" w:cs="Verdana"/>
                <w:sz w:val="16"/>
                <w:szCs w:val="16"/>
              </w:rPr>
            </w:pPr>
          </w:p>
          <w:p w:rsidR="002E2819" w:rsidRDefault="00295E20">
            <w:pPr>
              <w:tabs>
                <w:tab w:val="left" w:pos="784"/>
                <w:tab w:val="left" w:pos="785"/>
              </w:tabs>
              <w:spacing w:before="1"/>
              <w:ind w:right="172"/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Individuare le ragioni di un fallimento storico.</w:t>
            </w:r>
          </w:p>
          <w:p w:rsidR="002E2819" w:rsidRDefault="002E2819">
            <w:pPr>
              <w:tabs>
                <w:tab w:val="left" w:pos="784"/>
                <w:tab w:val="left" w:pos="785"/>
              </w:tabs>
              <w:spacing w:before="1"/>
              <w:ind w:right="172"/>
              <w:rPr>
                <w:rFonts w:ascii="Verdana" w:eastAsia="Verdana" w:hAnsi="Verdana" w:cs="Verdana"/>
                <w:b/>
                <w:sz w:val="16"/>
                <w:szCs w:val="16"/>
              </w:rPr>
            </w:pPr>
          </w:p>
          <w:p w:rsidR="002E2819" w:rsidRDefault="00295E20">
            <w:pPr>
              <w:tabs>
                <w:tab w:val="left" w:pos="784"/>
                <w:tab w:val="left" w:pos="785"/>
              </w:tabs>
              <w:spacing w:before="1"/>
              <w:ind w:right="172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Comprendere la complessità di un evento storico.</w:t>
            </w:r>
          </w:p>
          <w:p w:rsidR="002E2819" w:rsidRDefault="002E2819">
            <w:pPr>
              <w:tabs>
                <w:tab w:val="left" w:pos="784"/>
                <w:tab w:val="left" w:pos="785"/>
              </w:tabs>
              <w:spacing w:before="1"/>
              <w:ind w:right="172"/>
              <w:rPr>
                <w:rFonts w:ascii="Verdana" w:eastAsia="Verdana" w:hAnsi="Verdana" w:cs="Verdana"/>
                <w:sz w:val="16"/>
                <w:szCs w:val="16"/>
              </w:rPr>
            </w:pPr>
          </w:p>
        </w:tc>
        <w:tc>
          <w:tcPr>
            <w:tcW w:w="1519" w:type="dxa"/>
          </w:tcPr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</w:tr>
      <w:tr w:rsidR="002E2819">
        <w:trPr>
          <w:trHeight w:val="841"/>
        </w:trPr>
        <w:tc>
          <w:tcPr>
            <w:tcW w:w="2736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U.D. 2 Il regno di Sardegna e la politica di Cavour</w:t>
            </w:r>
          </w:p>
        </w:tc>
        <w:tc>
          <w:tcPr>
            <w:tcW w:w="6521" w:type="dxa"/>
          </w:tcPr>
          <w:p w:rsidR="002E2819" w:rsidRDefault="00295E20">
            <w:pPr>
              <w:tabs>
                <w:tab w:val="left" w:pos="784"/>
                <w:tab w:val="left" w:pos="785"/>
              </w:tabs>
              <w:spacing w:before="1"/>
              <w:ind w:right="172"/>
              <w:jc w:val="both"/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Ricostruire i processi politici e diplomatici che hanno portato all’unificazione nazionale.</w:t>
            </w:r>
          </w:p>
          <w:p w:rsidR="002E2819" w:rsidRDefault="002E2819">
            <w:pPr>
              <w:tabs>
                <w:tab w:val="left" w:pos="784"/>
                <w:tab w:val="left" w:pos="785"/>
              </w:tabs>
              <w:spacing w:before="1"/>
              <w:ind w:right="172"/>
              <w:jc w:val="both"/>
              <w:rPr>
                <w:rFonts w:ascii="Verdana" w:eastAsia="Verdana" w:hAnsi="Verdana" w:cs="Verdana"/>
                <w:b/>
                <w:sz w:val="16"/>
                <w:szCs w:val="16"/>
              </w:rPr>
            </w:pPr>
          </w:p>
          <w:p w:rsidR="002E2819" w:rsidRDefault="00295E20">
            <w:pPr>
              <w:tabs>
                <w:tab w:val="left" w:pos="784"/>
                <w:tab w:val="left" w:pos="785"/>
              </w:tabs>
              <w:spacing w:before="1"/>
              <w:ind w:right="172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Comprendere i processi di trasformazione determinati dalle politiche riformistiche.</w:t>
            </w:r>
          </w:p>
        </w:tc>
        <w:tc>
          <w:tcPr>
            <w:tcW w:w="1519" w:type="dxa"/>
          </w:tcPr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</w:tr>
      <w:tr w:rsidR="002E2819">
        <w:trPr>
          <w:trHeight w:val="1639"/>
        </w:trPr>
        <w:tc>
          <w:tcPr>
            <w:tcW w:w="2736" w:type="dxa"/>
          </w:tcPr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U.D. 3</w:t>
            </w:r>
          </w:p>
          <w:p w:rsidR="002E2819" w:rsidRDefault="00295E2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left="69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La nascita del regno d’Italia</w:t>
            </w:r>
          </w:p>
        </w:tc>
        <w:tc>
          <w:tcPr>
            <w:tcW w:w="6521" w:type="dxa"/>
          </w:tcPr>
          <w:p w:rsidR="002E2819" w:rsidRDefault="00295E20">
            <w:pPr>
              <w:tabs>
                <w:tab w:val="left" w:pos="784"/>
                <w:tab w:val="left" w:pos="785"/>
              </w:tabs>
              <w:spacing w:before="1"/>
              <w:ind w:right="172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Ricostruire i processi politici e militari che hanno portato all’unificazione nazionale.</w:t>
            </w:r>
          </w:p>
          <w:p w:rsidR="002E2819" w:rsidRDefault="002E2819">
            <w:pPr>
              <w:tabs>
                <w:tab w:val="left" w:pos="784"/>
                <w:tab w:val="left" w:pos="785"/>
              </w:tabs>
              <w:spacing w:before="1"/>
              <w:ind w:right="172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</w:p>
          <w:p w:rsidR="002E2819" w:rsidRDefault="00295E20">
            <w:pPr>
              <w:tabs>
                <w:tab w:val="left" w:pos="784"/>
                <w:tab w:val="left" w:pos="785"/>
              </w:tabs>
              <w:spacing w:before="1"/>
              <w:ind w:right="172"/>
              <w:jc w:val="both"/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Riconoscere le trasformazioni intervenute nel corso del tempo dopo l’unificazione, individuando nel passato le radici di alcune problematiche del presente.</w:t>
            </w:r>
          </w:p>
          <w:p w:rsidR="002E2819" w:rsidRDefault="002E2819">
            <w:pPr>
              <w:tabs>
                <w:tab w:val="left" w:pos="784"/>
                <w:tab w:val="left" w:pos="785"/>
              </w:tabs>
              <w:spacing w:before="1"/>
              <w:ind w:right="172"/>
              <w:rPr>
                <w:rFonts w:ascii="Verdana" w:eastAsia="Verdana" w:hAnsi="Verdana" w:cs="Verdana"/>
                <w:sz w:val="16"/>
                <w:szCs w:val="16"/>
              </w:rPr>
            </w:pPr>
          </w:p>
        </w:tc>
        <w:tc>
          <w:tcPr>
            <w:tcW w:w="1519" w:type="dxa"/>
          </w:tcPr>
          <w:p w:rsidR="002E2819" w:rsidRDefault="002E28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</w:tr>
    </w:tbl>
    <w:p w:rsidR="002E2819" w:rsidRDefault="002E2819">
      <w:pPr>
        <w:spacing w:before="56"/>
        <w:ind w:left="692"/>
        <w:rPr>
          <w:rFonts w:ascii="Verdana" w:eastAsia="Verdana" w:hAnsi="Verdana" w:cs="Verdana"/>
          <w:sz w:val="16"/>
          <w:szCs w:val="16"/>
        </w:rPr>
      </w:pPr>
    </w:p>
    <w:p w:rsidR="002E2819" w:rsidRDefault="002E2819">
      <w:pPr>
        <w:spacing w:before="56"/>
        <w:ind w:left="692"/>
        <w:rPr>
          <w:rFonts w:ascii="Verdana" w:eastAsia="Verdana" w:hAnsi="Verdana" w:cs="Verdana"/>
          <w:sz w:val="16"/>
          <w:szCs w:val="16"/>
        </w:rPr>
      </w:pPr>
    </w:p>
    <w:p w:rsidR="002E2819" w:rsidRDefault="002E2819">
      <w:pPr>
        <w:spacing w:before="56"/>
        <w:ind w:left="692"/>
        <w:rPr>
          <w:rFonts w:ascii="Verdana" w:eastAsia="Verdana" w:hAnsi="Verdana" w:cs="Verdana"/>
          <w:sz w:val="16"/>
          <w:szCs w:val="16"/>
        </w:rPr>
      </w:pPr>
    </w:p>
    <w:p w:rsidR="002E2819" w:rsidRDefault="00295E20">
      <w:pPr>
        <w:spacing w:before="56"/>
        <w:jc w:val="center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sz w:val="16"/>
          <w:szCs w:val="16"/>
        </w:rPr>
        <w:t>CRITERI E STRUMENTI DI VALUTAZIONE:</w:t>
      </w:r>
    </w:p>
    <w:p w:rsidR="002E2819" w:rsidRDefault="002E2819">
      <w:pPr>
        <w:spacing w:before="56"/>
        <w:jc w:val="center"/>
        <w:rPr>
          <w:rFonts w:ascii="Verdana" w:eastAsia="Verdana" w:hAnsi="Verdana" w:cs="Verdana"/>
          <w:sz w:val="16"/>
          <w:szCs w:val="16"/>
        </w:rPr>
      </w:pPr>
    </w:p>
    <w:p w:rsidR="002E2819" w:rsidRDefault="002E2819">
      <w:pPr>
        <w:spacing w:before="56"/>
        <w:jc w:val="center"/>
        <w:rPr>
          <w:rFonts w:ascii="Verdana" w:eastAsia="Verdana" w:hAnsi="Verdana" w:cs="Verdana"/>
          <w:sz w:val="16"/>
          <w:szCs w:val="16"/>
        </w:rPr>
      </w:pPr>
    </w:p>
    <w:p w:rsidR="002E2819" w:rsidRDefault="00295E20">
      <w:pPr>
        <w:pBdr>
          <w:top w:val="nil"/>
          <w:left w:val="nil"/>
          <w:bottom w:val="nil"/>
          <w:right w:val="nil"/>
          <w:between w:val="nil"/>
        </w:pBdr>
        <w:ind w:left="692"/>
        <w:rPr>
          <w:rFonts w:ascii="Verdana" w:eastAsia="Verdana" w:hAnsi="Verdana" w:cs="Verdana"/>
          <w:color w:val="000000"/>
          <w:sz w:val="16"/>
          <w:szCs w:val="16"/>
        </w:rPr>
      </w:pPr>
      <w:r>
        <w:rPr>
          <w:rFonts w:ascii="Verdana" w:eastAsia="Verdana" w:hAnsi="Verdana" w:cs="Verdana"/>
          <w:color w:val="000000"/>
          <w:sz w:val="16"/>
          <w:szCs w:val="16"/>
        </w:rPr>
        <w:t>Nella valutazione si terrà conto dei seguenti parametri:</w:t>
      </w:r>
    </w:p>
    <w:p w:rsidR="002E2819" w:rsidRDefault="00295E2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059"/>
          <w:tab w:val="left" w:pos="1060"/>
        </w:tabs>
        <w:spacing w:before="22"/>
        <w:ind w:left="1059" w:hanging="333"/>
        <w:rPr>
          <w:color w:val="000000"/>
        </w:rPr>
      </w:pPr>
      <w:r>
        <w:rPr>
          <w:rFonts w:ascii="Verdana" w:eastAsia="Verdana" w:hAnsi="Verdana" w:cs="Verdana"/>
          <w:color w:val="000000"/>
          <w:sz w:val="16"/>
          <w:szCs w:val="16"/>
        </w:rPr>
        <w:t>Capacità di decodificare il testo storico con riferimenti cronologici e spaziali precisi.</w:t>
      </w:r>
    </w:p>
    <w:p w:rsidR="002E2819" w:rsidRDefault="00295E2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087"/>
          <w:tab w:val="left" w:pos="1088"/>
        </w:tabs>
        <w:spacing w:before="8" w:line="249" w:lineRule="auto"/>
        <w:ind w:left="1087" w:right="2366" w:hanging="360"/>
        <w:rPr>
          <w:color w:val="000000"/>
        </w:rPr>
      </w:pPr>
      <w:r>
        <w:rPr>
          <w:rFonts w:ascii="Verdana" w:eastAsia="Verdana" w:hAnsi="Verdana" w:cs="Verdana"/>
          <w:color w:val="000000"/>
          <w:sz w:val="16"/>
          <w:szCs w:val="16"/>
        </w:rPr>
        <w:t>Capacità di esporre con un linguaggio semplice e chiaro i contenuti relativi agli eventi     storici studiati.</w:t>
      </w:r>
    </w:p>
    <w:p w:rsidR="002E2819" w:rsidRDefault="00295E2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087"/>
          <w:tab w:val="left" w:pos="1088"/>
        </w:tabs>
        <w:spacing w:line="237" w:lineRule="auto"/>
        <w:ind w:left="1087" w:right="1983" w:hanging="360"/>
        <w:rPr>
          <w:color w:val="000000"/>
        </w:rPr>
      </w:pPr>
      <w:r>
        <w:rPr>
          <w:rFonts w:ascii="Verdana" w:eastAsia="Verdana" w:hAnsi="Verdana" w:cs="Verdana"/>
          <w:color w:val="000000"/>
          <w:sz w:val="16"/>
          <w:szCs w:val="16"/>
        </w:rPr>
        <w:t>Capacità di effettuare operazioni di confronto tra sistemi politici diversi e strutture sociali differenti.</w:t>
      </w:r>
    </w:p>
    <w:p w:rsidR="002E2819" w:rsidRDefault="00295E2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087"/>
          <w:tab w:val="left" w:pos="1088"/>
        </w:tabs>
        <w:spacing w:line="237" w:lineRule="auto"/>
        <w:ind w:left="1087" w:right="1983" w:hanging="360"/>
        <w:rPr>
          <w:color w:val="000000"/>
        </w:rPr>
      </w:pPr>
      <w:r>
        <w:rPr>
          <w:rFonts w:ascii="Verdana" w:eastAsia="Verdana" w:hAnsi="Verdana" w:cs="Verdana"/>
          <w:color w:val="000000"/>
          <w:sz w:val="16"/>
          <w:szCs w:val="16"/>
        </w:rPr>
        <w:t>Verifiche formative sono previste al termine di ogni modulo con prove strutturate, semi- strutturate o colloqui formali.</w:t>
      </w:r>
    </w:p>
    <w:p w:rsidR="002E2819" w:rsidRDefault="002E2819">
      <w:pPr>
        <w:tabs>
          <w:tab w:val="left" w:pos="1087"/>
          <w:tab w:val="left" w:pos="1088"/>
        </w:tabs>
        <w:spacing w:line="237" w:lineRule="auto"/>
        <w:ind w:right="1983"/>
        <w:rPr>
          <w:rFonts w:ascii="Verdana" w:eastAsia="Verdana" w:hAnsi="Verdana" w:cs="Verdana"/>
          <w:sz w:val="16"/>
          <w:szCs w:val="16"/>
        </w:rPr>
      </w:pPr>
    </w:p>
    <w:p w:rsidR="002E2819" w:rsidRDefault="002E2819">
      <w:pPr>
        <w:tabs>
          <w:tab w:val="left" w:pos="1087"/>
          <w:tab w:val="left" w:pos="1088"/>
        </w:tabs>
        <w:spacing w:line="237" w:lineRule="auto"/>
        <w:ind w:right="1983"/>
        <w:rPr>
          <w:rFonts w:ascii="Verdana" w:eastAsia="Verdana" w:hAnsi="Verdana" w:cs="Verdana"/>
          <w:sz w:val="16"/>
          <w:szCs w:val="16"/>
        </w:rPr>
      </w:pPr>
    </w:p>
    <w:p w:rsidR="002E2819" w:rsidRDefault="002E2819">
      <w:pPr>
        <w:tabs>
          <w:tab w:val="left" w:pos="1087"/>
          <w:tab w:val="left" w:pos="1088"/>
        </w:tabs>
        <w:spacing w:line="237" w:lineRule="auto"/>
        <w:ind w:right="1983"/>
        <w:rPr>
          <w:rFonts w:ascii="Verdana" w:eastAsia="Verdana" w:hAnsi="Verdana" w:cs="Verdana"/>
          <w:sz w:val="16"/>
          <w:szCs w:val="16"/>
        </w:rPr>
      </w:pPr>
    </w:p>
    <w:p w:rsidR="002E2819" w:rsidRDefault="002E2819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rFonts w:ascii="Verdana" w:eastAsia="Verdana" w:hAnsi="Verdana" w:cs="Verdana"/>
          <w:color w:val="000000"/>
          <w:sz w:val="16"/>
          <w:szCs w:val="16"/>
        </w:rPr>
      </w:pPr>
    </w:p>
    <w:p w:rsidR="002E2819" w:rsidRDefault="00295E20">
      <w:pPr>
        <w:tabs>
          <w:tab w:val="left" w:pos="6841"/>
        </w:tabs>
        <w:spacing w:before="1"/>
        <w:ind w:left="588"/>
        <w:rPr>
          <w:rFonts w:ascii="Verdana" w:eastAsia="Verdana" w:hAnsi="Verdana" w:cs="Verdana"/>
          <w:sz w:val="16"/>
          <w:szCs w:val="16"/>
        </w:rPr>
      </w:pPr>
      <w:r>
        <w:rPr>
          <w:rFonts w:ascii="Verdana" w:eastAsia="Verdana" w:hAnsi="Verdana" w:cs="Verdana"/>
          <w:sz w:val="16"/>
          <w:szCs w:val="16"/>
        </w:rPr>
        <w:t xml:space="preserve">Roma, lì 4 /11 /2022 </w:t>
      </w:r>
      <w:r>
        <w:rPr>
          <w:rFonts w:ascii="Verdana" w:eastAsia="Verdana" w:hAnsi="Verdana" w:cs="Verdana"/>
          <w:sz w:val="16"/>
          <w:szCs w:val="16"/>
        </w:rPr>
        <w:tab/>
      </w:r>
      <w:r>
        <w:rPr>
          <w:rFonts w:ascii="Verdana" w:eastAsia="Verdana" w:hAnsi="Verdana" w:cs="Verdana"/>
          <w:sz w:val="16"/>
          <w:szCs w:val="16"/>
        </w:rPr>
        <w:t>IL DIPARTIMENTO DI STORIA</w:t>
      </w:r>
    </w:p>
    <w:p w:rsidR="002E2819" w:rsidRDefault="002E2819">
      <w:pPr>
        <w:tabs>
          <w:tab w:val="left" w:pos="6841"/>
        </w:tabs>
        <w:spacing w:before="1"/>
        <w:ind w:left="588"/>
        <w:rPr>
          <w:rFonts w:ascii="Verdana" w:eastAsia="Verdana" w:hAnsi="Verdana" w:cs="Verdana"/>
          <w:sz w:val="16"/>
          <w:szCs w:val="16"/>
        </w:rPr>
      </w:pPr>
    </w:p>
    <w:sectPr w:rsidR="002E2819">
      <w:pgSz w:w="11910" w:h="16840"/>
      <w:pgMar w:top="700" w:right="160" w:bottom="1120" w:left="700" w:header="0" w:footer="85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95E20" w:rsidRDefault="00295E20">
      <w:r>
        <w:separator/>
      </w:r>
    </w:p>
  </w:endnote>
  <w:endnote w:type="continuationSeparator" w:id="0">
    <w:p w:rsidR="00295E20" w:rsidRDefault="00295E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Noto Sans">
    <w:charset w:val="00"/>
    <w:family w:val="auto"/>
    <w:pitch w:val="default"/>
    <w:embedRegular r:id="rId1" w:fontKey="{18C9B2D0-746F-4FCA-BF75-2304691CE13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39873E68-D7B0-44E3-BCD0-59D7D2D6DB76}"/>
    <w:embedBold r:id="rId3" w:fontKey="{6616AEED-E76B-4ED2-BA32-2824068B90D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4" w:fontKey="{AD60A5A8-39CC-4CD5-BCCD-364F93B2B9F5}"/>
    <w:embedBold r:id="rId5" w:fontKey="{54FDEFFB-AB6A-4FA5-B779-2DDF38C44BE1}"/>
    <w:embedItalic r:id="rId6" w:fontKey="{0A5CF1F3-0DEE-469A-B67E-DF3D2130E240}"/>
    <w:embedBoldItalic r:id="rId7" w:fontKey="{4BC93CFB-F925-4695-AA1D-6D1BD1CC4547}"/>
  </w:font>
  <w:font w:name="Georgia">
    <w:panose1 w:val="02040502050405020303"/>
    <w:charset w:val="00"/>
    <w:family w:val="auto"/>
    <w:pitch w:val="default"/>
    <w:embedRegular r:id="rId8" w:fontKey="{46268556-3C81-4C18-AB67-B80780270026}"/>
    <w:embedItalic r:id="rId9" w:fontKey="{EFD421DE-62AC-4A53-9748-5A06B119F73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A3026255-4172-433F-97C7-232D2D315BB5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2819" w:rsidRDefault="002E281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2819" w:rsidRDefault="00295E2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0" distR="0" simplePos="0" relativeHeight="251658240" behindDoc="1" locked="0" layoutInCell="1" hidden="0" allowOverlap="1">
              <wp:simplePos x="0" y="0"/>
              <wp:positionH relativeFrom="column">
                <wp:posOffset>3213100</wp:posOffset>
              </wp:positionH>
              <wp:positionV relativeFrom="paragraph">
                <wp:posOffset>9944100</wp:posOffset>
              </wp:positionV>
              <wp:extent cx="158750" cy="184785"/>
              <wp:effectExtent l="0" t="0" r="0" b="0"/>
              <wp:wrapNone/>
              <wp:docPr id="4" name="Figura a mano libera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276150" y="3697133"/>
                        <a:ext cx="139700" cy="16573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39700" h="165735" extrusionOk="0">
                            <a:moveTo>
                              <a:pt x="0" y="0"/>
                            </a:moveTo>
                            <a:lnTo>
                              <a:pt x="0" y="165735"/>
                            </a:lnTo>
                            <a:lnTo>
                              <a:pt x="139700" y="165735"/>
                            </a:lnTo>
                            <a:lnTo>
                              <a:pt x="139700" y="0"/>
                            </a:lnTo>
                            <a:close/>
                          </a:path>
                        </a:pathLst>
                      </a:custGeom>
                      <a:noFill/>
                      <a:ln>
                        <a:noFill/>
                      </a:ln>
                    </wps:spPr>
                    <wps:txbx>
                      <w:txbxContent>
                        <w:p w:rsidR="002E2819" w:rsidRDefault="00295E20">
                          <w:pPr>
                            <w:spacing w:before="10"/>
                            <w:ind w:left="60" w:firstLine="120"/>
                            <w:textDirection w:val="btLr"/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color w:val="000000"/>
                              <w:sz w:val="20"/>
                            </w:rPr>
                            <w:t xml:space="preserve"> PAGE </w:t>
                          </w:r>
                          <w:r>
                            <w:rPr>
                              <w:color w:val="000000"/>
                            </w:rPr>
                            <w:t>1</w:t>
                          </w:r>
                        </w:p>
                      </w:txbxContent>
                    </wps:txbx>
                    <wps:bodyPr spcFirstLastPara="1" wrap="square" lIns="88900" tIns="38100" rIns="88900" bIns="381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3213100</wp:posOffset>
              </wp:positionH>
              <wp:positionV relativeFrom="paragraph">
                <wp:posOffset>9944100</wp:posOffset>
              </wp:positionV>
              <wp:extent cx="158750" cy="184785"/>
              <wp:effectExtent b="0" l="0" r="0" t="0"/>
              <wp:wrapNone/>
              <wp:docPr id="4" name="image1.png"/>
              <a:graphic>
                <a:graphicData uri="http://schemas.openxmlformats.org/drawingml/2006/picture">
                  <pic:pic>
                    <pic:nvPicPr>
                      <pic:cNvPr id="0" name="image1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58750" cy="18478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0" distR="0" simplePos="0" relativeHeight="251659264" behindDoc="1" locked="0" layoutInCell="1" hidden="0" allowOverlap="1">
              <wp:simplePos x="0" y="0"/>
              <wp:positionH relativeFrom="column">
                <wp:posOffset>4457700</wp:posOffset>
              </wp:positionH>
              <wp:positionV relativeFrom="paragraph">
                <wp:posOffset>9931400</wp:posOffset>
              </wp:positionV>
              <wp:extent cx="1659254" cy="158115"/>
              <wp:effectExtent l="0" t="0" r="0" b="0"/>
              <wp:wrapNone/>
              <wp:docPr id="6" name="Figura a mano libera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525898" y="3710468"/>
                        <a:ext cx="1640204" cy="13906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640204" h="139065" extrusionOk="0">
                            <a:moveTo>
                              <a:pt x="0" y="0"/>
                            </a:moveTo>
                            <a:lnTo>
                              <a:pt x="0" y="139065"/>
                            </a:lnTo>
                            <a:lnTo>
                              <a:pt x="1640204" y="139065"/>
                            </a:lnTo>
                            <a:lnTo>
                              <a:pt x="1640204" y="0"/>
                            </a:lnTo>
                            <a:close/>
                          </a:path>
                        </a:pathLst>
                      </a:custGeom>
                      <a:noFill/>
                      <a:ln>
                        <a:noFill/>
                      </a:ln>
                    </wps:spPr>
                    <wps:txbx>
                      <w:txbxContent>
                        <w:p w:rsidR="002E2819" w:rsidRDefault="00295E20">
                          <w:pPr>
                            <w:spacing w:before="12"/>
                            <w:ind w:left="20" w:firstLine="40"/>
                            <w:textDirection w:val="btLr"/>
                          </w:pPr>
                          <w:proofErr w:type="spellStart"/>
                          <w:r>
                            <w:rPr>
                              <w:rFonts w:ascii="Times New Roman" w:eastAsia="Times New Roman" w:hAnsi="Times New Roman" w:cs="Times New Roman"/>
                              <w:color w:val="000000"/>
                              <w:sz w:val="16"/>
                            </w:rPr>
                            <w:t>ModDid</w:t>
                          </w:r>
                          <w:proofErr w:type="spellEnd"/>
                          <w:r>
                            <w:rPr>
                              <w:rFonts w:ascii="Times New Roman" w:eastAsia="Times New Roman" w:hAnsi="Times New Roman" w:cs="Times New Roman"/>
                              <w:color w:val="000000"/>
                              <w:sz w:val="16"/>
                            </w:rPr>
                            <w:t xml:space="preserve"> 01 Scheda di Programmazione</w:t>
                          </w:r>
                        </w:p>
                      </w:txbxContent>
                    </wps:txbx>
                    <wps:bodyPr spcFirstLastPara="1" wrap="square" lIns="88900" tIns="38100" rIns="88900" bIns="381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4457700</wp:posOffset>
              </wp:positionH>
              <wp:positionV relativeFrom="paragraph">
                <wp:posOffset>9931400</wp:posOffset>
              </wp:positionV>
              <wp:extent cx="1659254" cy="158115"/>
              <wp:effectExtent b="0" l="0" r="0" t="0"/>
              <wp:wrapNone/>
              <wp:docPr id="6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659254" cy="15811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0" distR="0" simplePos="0" relativeHeight="251660288" behindDoc="1" locked="0" layoutInCell="1" hidden="0" allowOverlap="1">
              <wp:simplePos x="0" y="0"/>
              <wp:positionH relativeFrom="column">
                <wp:posOffset>101600</wp:posOffset>
              </wp:positionH>
              <wp:positionV relativeFrom="paragraph">
                <wp:posOffset>9931400</wp:posOffset>
              </wp:positionV>
              <wp:extent cx="1845310" cy="158115"/>
              <wp:effectExtent l="0" t="0" r="0" b="0"/>
              <wp:wrapNone/>
              <wp:docPr id="5" name="Figura a mano libera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432870" y="3710468"/>
                        <a:ext cx="1826260" cy="13906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826260" h="139065" extrusionOk="0">
                            <a:moveTo>
                              <a:pt x="0" y="0"/>
                            </a:moveTo>
                            <a:lnTo>
                              <a:pt x="0" y="139065"/>
                            </a:lnTo>
                            <a:lnTo>
                              <a:pt x="1826260" y="139065"/>
                            </a:lnTo>
                            <a:lnTo>
                              <a:pt x="1826260" y="0"/>
                            </a:lnTo>
                            <a:close/>
                          </a:path>
                        </a:pathLst>
                      </a:custGeom>
                      <a:noFill/>
                      <a:ln>
                        <a:noFill/>
                      </a:ln>
                    </wps:spPr>
                    <wps:txbx>
                      <w:txbxContent>
                        <w:p w:rsidR="002E2819" w:rsidRDefault="00295E20">
                          <w:pPr>
                            <w:spacing w:before="12"/>
                            <w:ind w:left="20" w:firstLine="40"/>
                            <w:textDirection w:val="btLr"/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color w:val="000000"/>
                              <w:sz w:val="16"/>
                            </w:rPr>
                            <w:t xml:space="preserve">IIS </w:t>
                          </w:r>
                          <w:proofErr w:type="gramStart"/>
                          <w:r>
                            <w:rPr>
                              <w:rFonts w:ascii="Times New Roman" w:eastAsia="Times New Roman" w:hAnsi="Times New Roman" w:cs="Times New Roman"/>
                              <w:color w:val="000000"/>
                              <w:sz w:val="16"/>
                            </w:rPr>
                            <w:t>V.le</w:t>
                          </w:r>
                          <w:proofErr w:type="gramEnd"/>
                          <w:r>
                            <w:rPr>
                              <w:rFonts w:ascii="Times New Roman" w:eastAsia="Times New Roman" w:hAnsi="Times New Roman" w:cs="Times New Roman"/>
                              <w:color w:val="000000"/>
                              <w:sz w:val="16"/>
                            </w:rPr>
                            <w:t xml:space="preserve"> M. F. </w:t>
                          </w:r>
                          <w:proofErr w:type="spellStart"/>
                          <w:r>
                            <w:rPr>
                              <w:rFonts w:ascii="Times New Roman" w:eastAsia="Times New Roman" w:hAnsi="Times New Roman" w:cs="Times New Roman"/>
                              <w:color w:val="000000"/>
                              <w:sz w:val="16"/>
                            </w:rPr>
                            <w:t>Nobiliore</w:t>
                          </w:r>
                          <w:proofErr w:type="spellEnd"/>
                          <w:r>
                            <w:rPr>
                              <w:rFonts w:ascii="Times New Roman" w:eastAsia="Times New Roman" w:hAnsi="Times New Roman" w:cs="Times New Roman"/>
                              <w:color w:val="000000"/>
                              <w:sz w:val="16"/>
                            </w:rPr>
                            <w:t xml:space="preserve"> 79/A – Jean </w:t>
                          </w:r>
                          <w:proofErr w:type="spellStart"/>
                          <w:r>
                            <w:rPr>
                              <w:rFonts w:ascii="Times New Roman" w:eastAsia="Times New Roman" w:hAnsi="Times New Roman" w:cs="Times New Roman"/>
                              <w:color w:val="000000"/>
                              <w:sz w:val="16"/>
                            </w:rPr>
                            <w:t>Piaget</w:t>
                          </w:r>
                          <w:proofErr w:type="spellEnd"/>
                        </w:p>
                      </w:txbxContent>
                    </wps:txbx>
                    <wps:bodyPr spcFirstLastPara="1" wrap="square" lIns="88900" tIns="38100" rIns="88900" bIns="381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101600</wp:posOffset>
              </wp:positionH>
              <wp:positionV relativeFrom="paragraph">
                <wp:posOffset>9931400</wp:posOffset>
              </wp:positionV>
              <wp:extent cx="1845310" cy="158115"/>
              <wp:effectExtent b="0" l="0" r="0" t="0"/>
              <wp:wrapNone/>
              <wp:docPr id="5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845310" cy="15811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2819" w:rsidRDefault="002E281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95E20" w:rsidRDefault="00295E20">
      <w:r>
        <w:separator/>
      </w:r>
    </w:p>
  </w:footnote>
  <w:footnote w:type="continuationSeparator" w:id="0">
    <w:p w:rsidR="00295E20" w:rsidRDefault="00295E2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2819" w:rsidRDefault="002E281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2819" w:rsidRDefault="002E281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2819" w:rsidRDefault="002E281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18A5EB0"/>
    <w:multiLevelType w:val="multilevel"/>
    <w:tmpl w:val="858855CA"/>
    <w:lvl w:ilvl="0">
      <w:numFmt w:val="bullet"/>
      <w:lvlText w:val="●"/>
      <w:lvlJc w:val="left"/>
      <w:pPr>
        <w:ind w:left="1088" w:hanging="332"/>
      </w:pPr>
      <w:rPr>
        <w:rFonts w:ascii="Noto Sans" w:eastAsia="Noto Sans" w:hAnsi="Noto Sans" w:cs="Noto Sans"/>
        <w:sz w:val="22"/>
        <w:szCs w:val="22"/>
      </w:rPr>
    </w:lvl>
    <w:lvl w:ilvl="1">
      <w:numFmt w:val="bullet"/>
      <w:lvlText w:val="•"/>
      <w:lvlJc w:val="left"/>
      <w:pPr>
        <w:ind w:left="2076" w:hanging="332"/>
      </w:pPr>
    </w:lvl>
    <w:lvl w:ilvl="2">
      <w:numFmt w:val="bullet"/>
      <w:lvlText w:val="•"/>
      <w:lvlJc w:val="left"/>
      <w:pPr>
        <w:ind w:left="3073" w:hanging="332"/>
      </w:pPr>
    </w:lvl>
    <w:lvl w:ilvl="3">
      <w:numFmt w:val="bullet"/>
      <w:lvlText w:val="•"/>
      <w:lvlJc w:val="left"/>
      <w:pPr>
        <w:ind w:left="4069" w:hanging="332"/>
      </w:pPr>
    </w:lvl>
    <w:lvl w:ilvl="4">
      <w:numFmt w:val="bullet"/>
      <w:lvlText w:val="•"/>
      <w:lvlJc w:val="left"/>
      <w:pPr>
        <w:ind w:left="5066" w:hanging="332"/>
      </w:pPr>
    </w:lvl>
    <w:lvl w:ilvl="5">
      <w:numFmt w:val="bullet"/>
      <w:lvlText w:val="•"/>
      <w:lvlJc w:val="left"/>
      <w:pPr>
        <w:ind w:left="6063" w:hanging="332"/>
      </w:pPr>
    </w:lvl>
    <w:lvl w:ilvl="6">
      <w:numFmt w:val="bullet"/>
      <w:lvlText w:val="•"/>
      <w:lvlJc w:val="left"/>
      <w:pPr>
        <w:ind w:left="7059" w:hanging="332"/>
      </w:pPr>
    </w:lvl>
    <w:lvl w:ilvl="7">
      <w:numFmt w:val="bullet"/>
      <w:lvlText w:val="•"/>
      <w:lvlJc w:val="left"/>
      <w:pPr>
        <w:ind w:left="8056" w:hanging="332"/>
      </w:pPr>
    </w:lvl>
    <w:lvl w:ilvl="8">
      <w:numFmt w:val="bullet"/>
      <w:lvlText w:val="•"/>
      <w:lvlJc w:val="left"/>
      <w:pPr>
        <w:ind w:left="9053" w:hanging="332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E2819"/>
    <w:rsid w:val="00295E20"/>
    <w:rsid w:val="002E2819"/>
    <w:rsid w:val="007C4E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20C09D6-42FF-4D93-8AA2-EA85A91B5D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it-IT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</w:style>
  <w:style w:type="paragraph" w:styleId="Titolo1">
    <w:name w:val="heading 1"/>
    <w:basedOn w:val="Normale"/>
    <w:next w:val="Normale"/>
    <w:pPr>
      <w:spacing w:before="48"/>
      <w:ind w:left="312"/>
      <w:outlineLvl w:val="0"/>
    </w:pPr>
    <w:rPr>
      <w:rFonts w:ascii="Times New Roman" w:eastAsia="Times New Roman" w:hAnsi="Times New Roman" w:cs="Times New Roman"/>
      <w:b/>
      <w:sz w:val="24"/>
      <w:szCs w:val="24"/>
    </w:rPr>
  </w:style>
  <w:style w:type="paragraph" w:styleId="Titolo2">
    <w:name w:val="heading 2"/>
    <w:basedOn w:val="Normale"/>
    <w:next w:val="Normale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pPr>
      <w:spacing w:before="84"/>
      <w:ind w:left="2452" w:right="2975"/>
      <w:jc w:val="center"/>
    </w:pPr>
    <w:rPr>
      <w:rFonts w:ascii="Verdana" w:eastAsia="Verdana" w:hAnsi="Verdana" w:cs="Verdana"/>
      <w:b/>
      <w:sz w:val="28"/>
      <w:szCs w:val="28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ottotitolo">
    <w:name w:val="Subtitle"/>
    <w:basedOn w:val="Normale"/>
    <w:next w:val="Normale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  <w:style w:type="table" w:customStyle="1" w:styleId="a1">
    <w:basedOn w:val="TableNormal0"/>
    <w:tblPr>
      <w:tblStyleRowBandSize w:val="1"/>
      <w:tblStyleColBandSize w:val="1"/>
    </w:tblPr>
  </w:style>
  <w:style w:type="table" w:customStyle="1" w:styleId="a2">
    <w:basedOn w:val="TableNormal0"/>
    <w:tblPr>
      <w:tblStyleRowBandSize w:val="1"/>
      <w:tblStyleColBandSize w:val="1"/>
    </w:tblPr>
  </w:style>
  <w:style w:type="table" w:customStyle="1" w:styleId="a3">
    <w:basedOn w:val="TableNormal0"/>
    <w:tblPr>
      <w:tblStyleRowBandSize w:val="1"/>
      <w:tblStyleColBandSize w:val="1"/>
    </w:tblPr>
  </w:style>
  <w:style w:type="table" w:customStyle="1" w:styleId="a4">
    <w:basedOn w:val="TableNormal0"/>
    <w:tblPr>
      <w:tblStyleRowBandSize w:val="1"/>
      <w:tblStyleColBandSize w:val="1"/>
    </w:tblPr>
  </w:style>
  <w:style w:type="table" w:customStyle="1" w:styleId="a5">
    <w:basedOn w:val="TableNormal0"/>
    <w:tblPr>
      <w:tblStyleRowBandSize w:val="1"/>
      <w:tblStyleColBandSize w:val="1"/>
    </w:tblPr>
  </w:style>
  <w:style w:type="table" w:customStyle="1" w:styleId="a6">
    <w:basedOn w:val="TableNormal0"/>
    <w:tblPr>
      <w:tblStyleRowBandSize w:val="1"/>
      <w:tblStyleColBandSize w:val="1"/>
    </w:tblPr>
  </w:style>
  <w:style w:type="paragraph" w:styleId="Intestazione">
    <w:name w:val="header"/>
    <w:basedOn w:val="Normale"/>
    <w:link w:val="IntestazioneCarattere"/>
    <w:uiPriority w:val="99"/>
    <w:unhideWhenUsed/>
    <w:rsid w:val="002C1A5C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2C1A5C"/>
  </w:style>
  <w:style w:type="paragraph" w:styleId="Pidipagina">
    <w:name w:val="footer"/>
    <w:basedOn w:val="Normale"/>
    <w:link w:val="PidipaginaCarattere"/>
    <w:uiPriority w:val="99"/>
    <w:unhideWhenUsed/>
    <w:rsid w:val="002C1A5C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2C1A5C"/>
  </w:style>
  <w:style w:type="table" w:customStyle="1" w:styleId="a7">
    <w:basedOn w:val="TableNormal0"/>
    <w:tblPr>
      <w:tblStyleRowBandSize w:val="1"/>
      <w:tblStyleColBandSize w:val="1"/>
    </w:tblPr>
  </w:style>
  <w:style w:type="table" w:customStyle="1" w:styleId="a8">
    <w:basedOn w:val="TableNormal0"/>
    <w:tblPr>
      <w:tblStyleRowBandSize w:val="1"/>
      <w:tblStyleColBandSize w:val="1"/>
    </w:tblPr>
  </w:style>
  <w:style w:type="table" w:customStyle="1" w:styleId="a9">
    <w:basedOn w:val="TableNormal0"/>
    <w:tblPr>
      <w:tblStyleRowBandSize w:val="1"/>
      <w:tblStyleColBandSize w:val="1"/>
    </w:tblPr>
  </w:style>
  <w:style w:type="table" w:customStyle="1" w:styleId="aa">
    <w:basedOn w:val="TableNormal0"/>
    <w:tblPr>
      <w:tblStyleRowBandSize w:val="1"/>
      <w:tblStyleColBandSize w:val="1"/>
    </w:tblPr>
  </w:style>
  <w:style w:type="table" w:customStyle="1" w:styleId="ab">
    <w:basedOn w:val="TableNormal0"/>
    <w:tblPr>
      <w:tblStyleRowBandSize w:val="1"/>
      <w:tblStyleColBandSize w:val="1"/>
    </w:tblPr>
  </w:style>
  <w:style w:type="table" w:customStyle="1" w:styleId="ac">
    <w:basedOn w:val="TableNormal0"/>
    <w:tblPr>
      <w:tblStyleRowBandSize w:val="1"/>
      <w:tblStyleColBandSize w:val="1"/>
    </w:tblPr>
  </w:style>
  <w:style w:type="table" w:customStyle="1" w:styleId="ad">
    <w:basedOn w:val="TableNormal0"/>
    <w:tblPr>
      <w:tblStyleRowBandSize w:val="1"/>
      <w:tblStyleColBandSize w:val="1"/>
    </w:tblPr>
  </w:style>
  <w:style w:type="table" w:customStyle="1" w:styleId="ae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0NPpCFCZePa92B6KhVtQetjdrqQ==">CgMxLjAyCGguZ2pkZ3hzMgloLjMwajB6bGwyCWguMWZvYjl0ZTgAciExMGQxMGJqeFV4TG95cGo5NTU4VDhkNjUyMGRaNFQ1TUQ=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1044</Words>
  <Characters>5954</Characters>
  <Application>Microsoft Office Word</Application>
  <DocSecurity>0</DocSecurity>
  <Lines>49</Lines>
  <Paragraphs>13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Donatella</dc:creator>
  <cp:lastModifiedBy>User</cp:lastModifiedBy>
  <cp:revision>2</cp:revision>
  <dcterms:created xsi:type="dcterms:W3CDTF">2025-11-07T19:03:00Z</dcterms:created>
  <dcterms:modified xsi:type="dcterms:W3CDTF">2025-11-07T19:03:00Z</dcterms:modified>
</cp:coreProperties>
</file>